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7E3E" w14:textId="47AFE76A" w:rsidR="006F6DF2" w:rsidRPr="00381991" w:rsidRDefault="006F6DF2" w:rsidP="00B06AE4">
      <w:pPr>
        <w:spacing w:line="360" w:lineRule="auto"/>
        <w:jc w:val="right"/>
        <w:rPr>
          <w:rFonts w:cstheme="minorHAnsi"/>
        </w:rPr>
      </w:pPr>
      <w:r w:rsidRPr="00381991">
        <w:rPr>
          <w:rFonts w:cstheme="minorHAnsi"/>
        </w:rPr>
        <w:t xml:space="preserve">São Paulo, </w:t>
      </w:r>
      <w:r w:rsidR="00587176">
        <w:rPr>
          <w:rFonts w:cstheme="minorHAnsi"/>
        </w:rPr>
        <w:t>28</w:t>
      </w:r>
      <w:r w:rsidRPr="00381991">
        <w:rPr>
          <w:rFonts w:cstheme="minorHAnsi"/>
        </w:rPr>
        <w:t xml:space="preserve"> de </w:t>
      </w:r>
      <w:r w:rsidR="003A51F9" w:rsidRPr="00381991">
        <w:rPr>
          <w:rFonts w:cstheme="minorHAnsi"/>
        </w:rPr>
        <w:t xml:space="preserve">junho </w:t>
      </w:r>
      <w:r w:rsidRPr="00381991">
        <w:rPr>
          <w:rFonts w:cstheme="minorHAnsi"/>
        </w:rPr>
        <w:t>de 20</w:t>
      </w:r>
      <w:r w:rsidR="00755AB2" w:rsidRPr="00381991">
        <w:rPr>
          <w:rFonts w:cstheme="minorHAnsi"/>
        </w:rPr>
        <w:t>2</w:t>
      </w:r>
      <w:r w:rsidR="003A51F9" w:rsidRPr="00381991">
        <w:rPr>
          <w:rFonts w:cstheme="minorHAnsi"/>
        </w:rPr>
        <w:t>2</w:t>
      </w:r>
    </w:p>
    <w:p w14:paraId="23A50C4F" w14:textId="0A800CE5" w:rsidR="006F6DF2" w:rsidRPr="00381991" w:rsidRDefault="00CB5AB5" w:rsidP="00B06AE4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Informação</w:t>
      </w:r>
      <w:r w:rsidR="00904CF4">
        <w:rPr>
          <w:rFonts w:cstheme="minorHAnsi"/>
          <w:b/>
        </w:rPr>
        <w:t xml:space="preserve"> 01</w:t>
      </w:r>
      <w:r w:rsidR="00655093">
        <w:rPr>
          <w:rFonts w:cstheme="minorHAnsi"/>
          <w:b/>
        </w:rPr>
        <w:t>/2022</w:t>
      </w:r>
      <w:r w:rsidR="00B62921">
        <w:rPr>
          <w:rFonts w:cstheme="minorHAnsi"/>
          <w:b/>
        </w:rPr>
        <w:t xml:space="preserve"> - AAI</w:t>
      </w:r>
    </w:p>
    <w:p w14:paraId="0DD5E8E0" w14:textId="3EF54921" w:rsidR="006F6DF2" w:rsidRDefault="006F6DF2" w:rsidP="00B06AE4">
      <w:pPr>
        <w:spacing w:after="0" w:line="360" w:lineRule="auto"/>
        <w:rPr>
          <w:rFonts w:cstheme="minorHAnsi"/>
          <w:b/>
        </w:rPr>
      </w:pPr>
      <w:r w:rsidRPr="00381991">
        <w:rPr>
          <w:rFonts w:cstheme="minorHAnsi"/>
          <w:b/>
        </w:rPr>
        <w:t>Assunto: Bonificação por Resultados – 20</w:t>
      </w:r>
      <w:r w:rsidR="00587176">
        <w:rPr>
          <w:rFonts w:cstheme="minorHAnsi"/>
          <w:b/>
        </w:rPr>
        <w:t>21</w:t>
      </w:r>
      <w:r w:rsidRPr="00381991">
        <w:rPr>
          <w:rFonts w:cstheme="minorHAnsi"/>
          <w:b/>
        </w:rPr>
        <w:t xml:space="preserve"> / Centro Paula Souza</w:t>
      </w:r>
    </w:p>
    <w:p w14:paraId="01E8B267" w14:textId="77777777" w:rsidR="00033520" w:rsidRDefault="00033520" w:rsidP="00033520">
      <w:pPr>
        <w:spacing w:before="120" w:after="120"/>
        <w:jc w:val="both"/>
      </w:pPr>
      <w:r w:rsidRPr="00430A1D">
        <w:rPr>
          <w:b/>
          <w:bCs/>
        </w:rPr>
        <w:t xml:space="preserve">1 </w:t>
      </w:r>
      <w:r>
        <w:rPr>
          <w:b/>
          <w:bCs/>
        </w:rPr>
        <w:t>–</w:t>
      </w:r>
      <w:r>
        <w:t xml:space="preserve"> </w:t>
      </w:r>
      <w:r w:rsidRPr="0088452F">
        <w:rPr>
          <w:b/>
          <w:bCs/>
        </w:rPr>
        <w:t>INFORMAÇ</w:t>
      </w:r>
      <w:r>
        <w:rPr>
          <w:b/>
          <w:bCs/>
        </w:rPr>
        <w:t>ÕES GERAIS</w:t>
      </w:r>
      <w:r w:rsidRPr="0088452F">
        <w:rPr>
          <w:b/>
          <w:bCs/>
        </w:rPr>
        <w:t xml:space="preserve"> SOBRE A PROPOSTA DE BONIFICAÇÃO POR RESULTADOS</w:t>
      </w:r>
      <w:r>
        <w:rPr>
          <w:b/>
          <w:bCs/>
        </w:rPr>
        <w:t xml:space="preserve"> DO CENTRO PAULA SOUZA </w:t>
      </w:r>
      <w:r w:rsidRPr="0088452F">
        <w:rPr>
          <w:b/>
          <w:bCs/>
        </w:rPr>
        <w:t>– 2021</w:t>
      </w:r>
    </w:p>
    <w:p w14:paraId="5710C925" w14:textId="77777777" w:rsidR="00033520" w:rsidRDefault="00033520" w:rsidP="00033520">
      <w:pPr>
        <w:spacing w:before="120" w:after="120"/>
        <w:jc w:val="both"/>
      </w:pPr>
      <w:r>
        <w:t xml:space="preserve"> </w:t>
      </w:r>
      <w:r>
        <w:tab/>
        <w:t xml:space="preserve">A  proposta de bonificação por resultados do Centro Paula Souza para 2021 refletiu o objetivo da instituição em manter-se como referencial de ensino profissional de qualidade. </w:t>
      </w:r>
    </w:p>
    <w:p w14:paraId="3A018555" w14:textId="77777777" w:rsidR="00033520" w:rsidRDefault="00033520" w:rsidP="00033520">
      <w:pPr>
        <w:spacing w:before="120" w:after="120"/>
        <w:ind w:firstLine="708"/>
        <w:jc w:val="both"/>
      </w:pPr>
      <w:r>
        <w:t xml:space="preserve">O Centro Paula Souza em 2020, assim como o mundo todo, sofreu o impacto da pandemia COVID-19 fazendo com que todos seus órgãos internos principalmente as Coordenadorias de Ensino e as Unidades escolares, se mobilizassem para a estruturação da modalidade de ensino remoto, objetivando prioritariamente que os nossos discentes continuassem seus cursos da melhor maneira possível. </w:t>
      </w:r>
    </w:p>
    <w:p w14:paraId="6764E624" w14:textId="77777777" w:rsidR="00033520" w:rsidRDefault="00033520" w:rsidP="00033520">
      <w:pPr>
        <w:spacing w:before="120" w:after="120"/>
        <w:ind w:firstLine="708"/>
        <w:jc w:val="both"/>
      </w:pPr>
      <w:r>
        <w:t xml:space="preserve">Assim, foram realizadas pesquisas com toda a comunidade escolar e acadêmica com o principal objetivo de subsidiar o gabinete da Superintendência do Centro Paula Souza e as Coordenadorias de Ensino no planejamento executivo e na tomada de decisões com relação às novas metodologias de ensino, às parcerias e contratações de tecnologia de informática e de suporte necessárias ao teletrabalho e aulas remotas. </w:t>
      </w:r>
    </w:p>
    <w:p w14:paraId="24DDF23C" w14:textId="77777777" w:rsidR="00033520" w:rsidRDefault="00033520" w:rsidP="00033520">
      <w:pPr>
        <w:spacing w:before="120" w:after="120"/>
        <w:ind w:firstLine="708"/>
        <w:jc w:val="both"/>
      </w:pPr>
      <w:r>
        <w:t>Muito esforço com criatividade e assertividade foi empenhado nestas ações. Esta constatação reforçou a necessidade de buscar junto à Comissão Intersecretarial para Bonificação por Resultados do Estado de São Paulo, a negociação do aumento da base salarial de cálculo da bonificação. Nesta negociação, o Centro Pula Souza foi vitorioso, conseguindo aumentar o percentual de 8,34% que geraria valor máximo de 1 salário, para 20% que gerou o valor máximo possível a ser recebido de 2,4 salários.</w:t>
      </w:r>
    </w:p>
    <w:p w14:paraId="71A2A4A3" w14:textId="12D8D454" w:rsidR="00033520" w:rsidRDefault="00033520" w:rsidP="00033520">
      <w:pPr>
        <w:spacing w:before="120" w:after="120"/>
        <w:ind w:firstLine="708"/>
        <w:jc w:val="both"/>
      </w:pPr>
      <w:r>
        <w:t>Quanto à proposta de bonificação, pretendeu-se manter a cesta de indicadores que já havia sido proposta em anos anteriores, pois já era conhecida de todos os envolvidos no processo, mas com adequações necessárias que refletiram  a análise da conjuntura da pandemia.</w:t>
      </w:r>
    </w:p>
    <w:p w14:paraId="235643CE" w14:textId="77777777" w:rsidR="00655093" w:rsidRDefault="00655093" w:rsidP="00033520">
      <w:pPr>
        <w:spacing w:before="120" w:after="120"/>
        <w:ind w:firstLine="708"/>
        <w:jc w:val="both"/>
      </w:pPr>
    </w:p>
    <w:p w14:paraId="0792EDF1" w14:textId="77777777" w:rsidR="00033520" w:rsidRPr="0088452F" w:rsidRDefault="00033520" w:rsidP="00033520">
      <w:pPr>
        <w:spacing w:before="120" w:after="120"/>
        <w:jc w:val="both"/>
        <w:rPr>
          <w:b/>
          <w:bCs/>
        </w:rPr>
      </w:pPr>
      <w:r w:rsidRPr="0088452F">
        <w:rPr>
          <w:b/>
          <w:bCs/>
        </w:rPr>
        <w:t>2 - CONSIDERAÇÕES GERAIS SOBRE A PROPOSTA DE INDICADORES</w:t>
      </w:r>
    </w:p>
    <w:p w14:paraId="2ABED93F" w14:textId="77777777" w:rsidR="00033520" w:rsidRDefault="00033520" w:rsidP="00033520">
      <w:pPr>
        <w:spacing w:before="120" w:after="120"/>
        <w:ind w:firstLine="708"/>
        <w:jc w:val="both"/>
      </w:pPr>
      <w:r>
        <w:t xml:space="preserve">A Estrutura da bonificação por resultados do CPS para 2021 foi dividida em duas categorias de indicadores. </w:t>
      </w:r>
    </w:p>
    <w:p w14:paraId="76A0FD2E" w14:textId="77777777" w:rsidR="00033520" w:rsidRPr="0088452F" w:rsidRDefault="00033520" w:rsidP="00033520">
      <w:pPr>
        <w:spacing w:before="120" w:after="120"/>
        <w:jc w:val="both"/>
        <w:rPr>
          <w:b/>
          <w:bCs/>
        </w:rPr>
      </w:pPr>
      <w:r w:rsidRPr="0088452F">
        <w:rPr>
          <w:b/>
          <w:bCs/>
        </w:rPr>
        <w:t xml:space="preserve">Indicadores de Resultados </w:t>
      </w:r>
    </w:p>
    <w:p w14:paraId="191DCFDD" w14:textId="77777777" w:rsidR="00033520" w:rsidRDefault="00033520" w:rsidP="00033520">
      <w:pPr>
        <w:spacing w:before="120" w:after="120"/>
        <w:ind w:firstLine="708"/>
        <w:jc w:val="both"/>
      </w:pPr>
      <w:r>
        <w:t>Indicam a eficácia, ou seja, os resultados provenientes das ações escolares desenvolvidas no processo. Neles estão expressos os indicadores de desempenho escolar, como a Taxa Concluinte Curso, SARESP, Reconhecimento de Cursos, onde podemos aferir a qualidade do ensino oferecido. Para o ano de 2021, algumas mudanças foram introduzidas levando-se em consideração a conjuntura da pandemia COVID 19:</w:t>
      </w:r>
    </w:p>
    <w:p w14:paraId="27BC1865" w14:textId="77777777" w:rsidR="00033520" w:rsidRDefault="00033520" w:rsidP="00033520">
      <w:pPr>
        <w:pStyle w:val="PargrafodaLista"/>
        <w:numPr>
          <w:ilvl w:val="0"/>
          <w:numId w:val="26"/>
        </w:numPr>
        <w:spacing w:before="120" w:after="120"/>
        <w:jc w:val="both"/>
      </w:pPr>
      <w:r w:rsidRPr="0088452F">
        <w:rPr>
          <w:b/>
          <w:bCs/>
        </w:rPr>
        <w:t>Ampliação do prazo de atingimento das metas institucionais da taxa concluinte curso.</w:t>
      </w:r>
      <w:r>
        <w:t xml:space="preserve"> A partir da análise dos resultados de 2020, utilizados como metas para 2021, entendemos que seria injusto propor um crescimento nos moldes utilizados até 2019.</w:t>
      </w:r>
      <w:r w:rsidRPr="00C650A7">
        <w:t xml:space="preserve"> </w:t>
      </w:r>
      <w:r>
        <w:t>Assim, os prazos foram aumentados, passando de 9 anos para 13 anos, no caso das Etecs e 12 anos para 15 anos, no caso das Fatecs.  Esta ampliação fez com que as metas anuais diminuíssem e  fossem diluídas para períodos maiores.</w:t>
      </w:r>
    </w:p>
    <w:p w14:paraId="76009CA0" w14:textId="77777777" w:rsidR="00033520" w:rsidRDefault="00033520" w:rsidP="00033520">
      <w:pPr>
        <w:pStyle w:val="PargrafodaLista"/>
        <w:numPr>
          <w:ilvl w:val="0"/>
          <w:numId w:val="26"/>
        </w:numPr>
        <w:spacing w:before="120" w:after="120"/>
        <w:jc w:val="both"/>
      </w:pPr>
      <w:r w:rsidRPr="0088452F">
        <w:rPr>
          <w:b/>
          <w:bCs/>
        </w:rPr>
        <w:lastRenderedPageBreak/>
        <w:t>Início de nova série histórica de monitoramento do indicador SARESP.</w:t>
      </w:r>
      <w:r>
        <w:t xml:space="preserve"> Em 2020 não foi realizada a prova SARESP. De pronto, percebeu-se que estabelecer metas e comparar os resultados de 2021 com 2019 seria completamente injusto com as Unidades de Ensino, pois sabíamos que a situação de pandemia impactaria grandemente no desempenho das Unidades. Desta forma, a proposta do indicador foi alterada, não havendo metas a serem atingidas e possibilitando que as Unidades iniciassem nova série histórica e pontuassem proporcionalmente ao desempenho conseguido.</w:t>
      </w:r>
    </w:p>
    <w:p w14:paraId="0C87ECBC" w14:textId="77777777" w:rsidR="000207A5" w:rsidRDefault="000207A5" w:rsidP="00033520">
      <w:pPr>
        <w:spacing w:before="120" w:after="120"/>
        <w:jc w:val="both"/>
        <w:rPr>
          <w:b/>
          <w:bCs/>
        </w:rPr>
      </w:pPr>
    </w:p>
    <w:p w14:paraId="7164C09B" w14:textId="23BC5EA7" w:rsidR="00033520" w:rsidRPr="00CB6F32" w:rsidRDefault="00033520" w:rsidP="00033520">
      <w:pPr>
        <w:spacing w:before="120" w:after="120"/>
        <w:jc w:val="both"/>
        <w:rPr>
          <w:b/>
          <w:bCs/>
        </w:rPr>
      </w:pPr>
      <w:r w:rsidRPr="00CB6F32">
        <w:rPr>
          <w:b/>
          <w:bCs/>
        </w:rPr>
        <w:t xml:space="preserve">Indicadores de Processo para Melhoria de Gestão </w:t>
      </w:r>
    </w:p>
    <w:p w14:paraId="413DF172" w14:textId="6B3516B9" w:rsidR="00033520" w:rsidRDefault="00033520" w:rsidP="00033520">
      <w:pPr>
        <w:spacing w:before="120" w:after="120"/>
        <w:ind w:firstLine="708"/>
        <w:jc w:val="both"/>
      </w:pPr>
      <w:r>
        <w:t>A importância dos indicadores de processo deve-se ao fato de que sua observância permite a definição de modelos e a adoção de um planejamento cada vez mais adequado para o alcance dos resultados e metas estabelecidas para as Unidades de Ensino. Assim, a gestão por processos demanda o contínuo monitoramento de indicadores relacionados aos fluxos de trabalho. No caso especificamente da Bonificação por Resultados, esta avaliação objetiva reconhecer as eficientes práticas de trabalho desenvolvidas pelas Unidades de Ensino e motivar aquelas que ainda não conseguiram planejar de forma eficaz suas rotinas de gestão e processos. Estes indicadores não possuem metas, a grande maioria das Unidades de Ensino tem recebido a pontuação, sendo uma maneira de demonstrar a eficiência de nossos processos administrativos. Há que se destacar que entre os órgãos/Secretarias que participaram do Programa de Bonificação por Resultados nos últimos anos, somente o Centro Paula Souza conseguiu a aprovação desta categoria de indicadores.</w:t>
      </w:r>
    </w:p>
    <w:p w14:paraId="170852FF" w14:textId="77777777" w:rsidR="000C4025" w:rsidRDefault="000C4025" w:rsidP="00033520">
      <w:pPr>
        <w:spacing w:before="120" w:after="120"/>
        <w:jc w:val="both"/>
        <w:rPr>
          <w:b/>
          <w:bCs/>
        </w:rPr>
      </w:pPr>
    </w:p>
    <w:p w14:paraId="28EBA7B4" w14:textId="326CE7E0" w:rsidR="00033520" w:rsidRDefault="00EE5C4E" w:rsidP="00033520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3 - </w:t>
      </w:r>
      <w:r w:rsidR="00033520" w:rsidRPr="56DDC2DC">
        <w:rPr>
          <w:b/>
          <w:bCs/>
        </w:rPr>
        <w:t>TABELA-RESUMO D</w:t>
      </w:r>
      <w:r w:rsidR="00033520">
        <w:rPr>
          <w:b/>
          <w:bCs/>
        </w:rPr>
        <w:t xml:space="preserve">A CESTA DE </w:t>
      </w:r>
      <w:r w:rsidR="00033520" w:rsidRPr="56DDC2DC">
        <w:rPr>
          <w:b/>
          <w:bCs/>
        </w:rPr>
        <w:t xml:space="preserve"> INDICADORES</w:t>
      </w:r>
      <w:r w:rsidR="00033520">
        <w:rPr>
          <w:b/>
          <w:bCs/>
        </w:rPr>
        <w:t xml:space="preserve"> DA BR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3545"/>
        <w:gridCol w:w="1123"/>
      </w:tblGrid>
      <w:tr w:rsidR="00033520" w14:paraId="26D30A83" w14:textId="77777777" w:rsidTr="00124F1F">
        <w:trPr>
          <w:trHeight w:val="340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D6367" w14:textId="77777777" w:rsidR="00033520" w:rsidRPr="00CB6F32" w:rsidRDefault="00033520" w:rsidP="00EB13D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B6F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ETEC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2B6BCB" w14:textId="77777777" w:rsidR="00033520" w:rsidRDefault="00033520" w:rsidP="00EB13D1">
            <w:pPr>
              <w:spacing w:before="120" w:after="120"/>
              <w:jc w:val="both"/>
            </w:pPr>
            <w:r w:rsidRPr="56DDC2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Peso </w:t>
            </w:r>
          </w:p>
        </w:tc>
      </w:tr>
      <w:tr w:rsidR="00033520" w14:paraId="40C71BF8" w14:textId="77777777" w:rsidTr="00124F1F">
        <w:trPr>
          <w:trHeight w:val="340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470D2C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 w:rsidRPr="00CB6F32">
              <w:rPr>
                <w:rFonts w:ascii="Calibri" w:eastAsia="Calibri" w:hAnsi="Calibri" w:cs="Calibri"/>
              </w:rPr>
              <w:t xml:space="preserve">Taxa Concluinte Curso </w:t>
            </w:r>
          </w:p>
        </w:tc>
        <w:tc>
          <w:tcPr>
            <w:tcW w:w="567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D112B3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40 </w:t>
            </w:r>
          </w:p>
        </w:tc>
      </w:tr>
      <w:tr w:rsidR="00033520" w14:paraId="793D6678" w14:textId="77777777" w:rsidTr="00124F1F">
        <w:trPr>
          <w:trHeight w:val="340"/>
        </w:trPr>
        <w:tc>
          <w:tcPr>
            <w:tcW w:w="2643" w:type="pct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3188C2C0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Avaliação Externa </w:t>
            </w:r>
          </w:p>
        </w:tc>
        <w:tc>
          <w:tcPr>
            <w:tcW w:w="1790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6A4086E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SARESP Língua Portuguesa 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3DE44525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10 </w:t>
            </w:r>
          </w:p>
        </w:tc>
      </w:tr>
      <w:tr w:rsidR="00033520" w14:paraId="7ACDBE82" w14:textId="77777777" w:rsidTr="00124F1F">
        <w:trPr>
          <w:trHeight w:val="340"/>
        </w:trPr>
        <w:tc>
          <w:tcPr>
            <w:tcW w:w="2643" w:type="pct"/>
            <w:vMerge/>
            <w:tcBorders>
              <w:left w:val="single" w:sz="0" w:space="0" w:color="BFBFBF" w:themeColor="background1" w:themeShade="BF"/>
              <w:bottom w:val="single" w:sz="0" w:space="0" w:color="BFBFBF" w:themeColor="background1" w:themeShade="BF"/>
              <w:right w:val="single" w:sz="0" w:space="0" w:color="BFBFBF" w:themeColor="background1" w:themeShade="BF"/>
            </w:tcBorders>
            <w:vAlign w:val="center"/>
          </w:tcPr>
          <w:p w14:paraId="4390F51E" w14:textId="77777777" w:rsidR="00033520" w:rsidRDefault="00033520" w:rsidP="00EB13D1">
            <w:pPr>
              <w:spacing w:before="120" w:after="120"/>
              <w:jc w:val="both"/>
            </w:pPr>
          </w:p>
        </w:tc>
        <w:tc>
          <w:tcPr>
            <w:tcW w:w="1790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B184C8D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SARESP - Matemática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E3D9018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10 </w:t>
            </w:r>
          </w:p>
        </w:tc>
      </w:tr>
      <w:tr w:rsidR="00033520" w14:paraId="59F5D571" w14:textId="77777777" w:rsidTr="00124F1F">
        <w:trPr>
          <w:trHeight w:val="340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12809B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Índice de Eficiência na Gestão da Qualidade de Folha de Pagamento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DC8C0E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7 </w:t>
            </w:r>
          </w:p>
        </w:tc>
      </w:tr>
      <w:tr w:rsidR="00033520" w14:paraId="69E9AFDE" w14:textId="77777777" w:rsidTr="00124F1F">
        <w:trPr>
          <w:trHeight w:val="340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470A4085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>PPG (Plano Plurianual de Gestão)</w:t>
            </w: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59FA71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10 </w:t>
            </w:r>
          </w:p>
        </w:tc>
      </w:tr>
      <w:tr w:rsidR="00033520" w14:paraId="4C6984B8" w14:textId="77777777" w:rsidTr="00124F1F">
        <w:trPr>
          <w:trHeight w:val="340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0CCA5D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Divisão de Turmas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BC2F26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9 </w:t>
            </w:r>
          </w:p>
        </w:tc>
      </w:tr>
      <w:tr w:rsidR="00033520" w14:paraId="6108D6AA" w14:textId="77777777" w:rsidTr="00124F1F">
        <w:trPr>
          <w:trHeight w:val="340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07155E5D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>Calendário Escolar</w:t>
            </w: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D1CF41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6 </w:t>
            </w:r>
          </w:p>
        </w:tc>
      </w:tr>
      <w:tr w:rsidR="00033520" w14:paraId="00B6E0EC" w14:textId="77777777" w:rsidTr="00124F1F">
        <w:trPr>
          <w:trHeight w:val="340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2020BC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SED – Secretaria Eletrônica Digital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A949222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8 </w:t>
            </w:r>
          </w:p>
        </w:tc>
      </w:tr>
      <w:tr w:rsidR="00033520" w14:paraId="46A77240" w14:textId="77777777" w:rsidTr="00124F1F">
        <w:trPr>
          <w:trHeight w:val="340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02DF648D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212C25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100</w:t>
            </w:r>
          </w:p>
        </w:tc>
      </w:tr>
    </w:tbl>
    <w:p w14:paraId="21A4B19A" w14:textId="77777777" w:rsidR="004B50DE" w:rsidRPr="00CB6F32" w:rsidRDefault="004B50DE" w:rsidP="00EB13D1">
      <w:pPr>
        <w:tabs>
          <w:tab w:val="left" w:pos="8897"/>
        </w:tabs>
        <w:spacing w:before="120" w:after="120"/>
        <w:ind w:left="118"/>
        <w:rPr>
          <w:rFonts w:ascii="Calibri" w:eastAsia="Calibri" w:hAnsi="Calibri" w:cs="Calibri"/>
          <w:b/>
          <w:bCs/>
          <w:color w:val="000000" w:themeColor="text1"/>
        </w:rPr>
      </w:pPr>
      <w:r w:rsidRPr="00CB6F32">
        <w:rPr>
          <w:rFonts w:ascii="Calibri" w:eastAsia="Calibri" w:hAnsi="Calibri" w:cs="Calibri"/>
          <w:b/>
          <w:bCs/>
          <w:color w:val="000000" w:themeColor="text1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0"/>
        <w:gridCol w:w="3969"/>
        <w:gridCol w:w="1123"/>
      </w:tblGrid>
      <w:tr w:rsidR="00033520" w:rsidRPr="00CB6F32" w14:paraId="4C4F7076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9FFC1D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b/>
                <w:bCs/>
              </w:rPr>
              <w:lastRenderedPageBreak/>
              <w:t xml:space="preserve">FATEC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97C439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b/>
                <w:bCs/>
              </w:rPr>
              <w:t xml:space="preserve">Peso </w:t>
            </w:r>
          </w:p>
        </w:tc>
      </w:tr>
      <w:tr w:rsidR="00033520" w:rsidRPr="00CB6F32" w14:paraId="69D0F9DA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9A29B9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Taxa Concluinte Curso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3F634B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40 </w:t>
            </w:r>
          </w:p>
        </w:tc>
      </w:tr>
      <w:tr w:rsidR="00033520" w:rsidRPr="00CB6F32" w14:paraId="00C88309" w14:textId="77777777" w:rsidTr="00124F1F">
        <w:trPr>
          <w:trHeight w:val="397"/>
        </w:trPr>
        <w:tc>
          <w:tcPr>
            <w:tcW w:w="242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10E1696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Avaliação Externa </w:t>
            </w:r>
          </w:p>
        </w:tc>
        <w:tc>
          <w:tcPr>
            <w:tcW w:w="2004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4852BAB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Prazo de autorização, reconhecimento e renovação de reconhecimento de cursos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E91B48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20 </w:t>
            </w:r>
          </w:p>
        </w:tc>
      </w:tr>
      <w:tr w:rsidR="00033520" w:rsidRPr="00CB6F32" w14:paraId="71E6C979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75796A2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>Índice de Eficiência na Gestão da Qualidade de Folha de Pagamento</w:t>
            </w: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3A9EB1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7 </w:t>
            </w:r>
          </w:p>
        </w:tc>
      </w:tr>
      <w:tr w:rsidR="00033520" w:rsidRPr="00CB6F32" w14:paraId="75C7F661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CC0EF5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PDI – Plano de Desenvolvimento Institucional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66AB56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10 </w:t>
            </w:r>
          </w:p>
        </w:tc>
      </w:tr>
      <w:tr w:rsidR="00033520" w:rsidRPr="00CB6F32" w14:paraId="2DF8C70E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3D5E9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Calendário Escolar com dados específicos da Unidade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720A10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6 </w:t>
            </w:r>
          </w:p>
        </w:tc>
      </w:tr>
      <w:tr w:rsidR="00033520" w:rsidRPr="00CB6F32" w14:paraId="6A25E3E1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F92340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Relatório de Atualização do Sistema e-Mec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CA2CCF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033520" w:rsidRPr="00CB6F32" w14:paraId="02754ABA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4AA4110B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>Censo Escolar</w:t>
            </w: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2EB8D4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5 </w:t>
            </w:r>
          </w:p>
        </w:tc>
      </w:tr>
      <w:tr w:rsidR="00033520" w:rsidRPr="00CB6F32" w14:paraId="4B403573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06D67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Processo de Emissão de Diplomas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31EC3A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7 </w:t>
            </w:r>
          </w:p>
        </w:tc>
      </w:tr>
      <w:tr w:rsidR="00033520" w:rsidRPr="00CB6F32" w14:paraId="636AA6E8" w14:textId="77777777" w:rsidTr="00124F1F">
        <w:trPr>
          <w:trHeight w:val="397"/>
        </w:trPr>
        <w:tc>
          <w:tcPr>
            <w:tcW w:w="443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794F6872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5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66DE4A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100</w:t>
            </w:r>
          </w:p>
        </w:tc>
      </w:tr>
    </w:tbl>
    <w:p w14:paraId="0D91ED06" w14:textId="77777777" w:rsidR="00033520" w:rsidRDefault="00033520" w:rsidP="00033520">
      <w:pPr>
        <w:spacing w:before="120" w:after="120"/>
        <w:jc w:val="both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1"/>
        <w:gridCol w:w="3078"/>
        <w:gridCol w:w="1063"/>
      </w:tblGrid>
      <w:tr w:rsidR="00033520" w:rsidRPr="00CB6F32" w14:paraId="539FD2A3" w14:textId="77777777" w:rsidTr="00DB4AA6">
        <w:trPr>
          <w:trHeight w:val="397"/>
        </w:trPr>
        <w:tc>
          <w:tcPr>
            <w:tcW w:w="4463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3EB162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b/>
                <w:bCs/>
              </w:rPr>
              <w:t xml:space="preserve">Administração Central </w:t>
            </w:r>
          </w:p>
        </w:tc>
        <w:tc>
          <w:tcPr>
            <w:tcW w:w="537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27CAE7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b/>
                <w:bCs/>
              </w:rPr>
              <w:t xml:space="preserve">Peso </w:t>
            </w:r>
          </w:p>
        </w:tc>
      </w:tr>
      <w:tr w:rsidR="00033520" w:rsidRPr="00CB6F32" w14:paraId="34004921" w14:textId="77777777" w:rsidTr="00DB4AA6">
        <w:trPr>
          <w:trHeight w:val="397"/>
        </w:trPr>
        <w:tc>
          <w:tcPr>
            <w:tcW w:w="4463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560A56F" w14:textId="664D556D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Certificados de capacitação para docentes e técnico-administrativos emitidos pelo </w:t>
            </w:r>
            <w:r w:rsidR="00DB4AA6">
              <w:rPr>
                <w:rFonts w:ascii="Calibri" w:eastAsia="Calibri" w:hAnsi="Calibri" w:cs="Calibri"/>
                <w:b/>
                <w:bCs/>
                <w:color w:val="000000" w:themeColor="text1"/>
              </w:rPr>
              <w:t>CPS</w:t>
            </w: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7B77494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20 </w:t>
            </w:r>
          </w:p>
        </w:tc>
      </w:tr>
      <w:tr w:rsidR="00033520" w:rsidRPr="00CB6F32" w14:paraId="226EBCA1" w14:textId="77777777" w:rsidTr="00DB4AA6">
        <w:trPr>
          <w:trHeight w:val="397"/>
        </w:trPr>
        <w:tc>
          <w:tcPr>
            <w:tcW w:w="290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A023808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>Desempenho Médio das Unidades de Ensino</w:t>
            </w:r>
            <w:r w:rsidRPr="00CB6F3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554" w:type="pct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2C317F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ETECs </w:t>
            </w:r>
          </w:p>
        </w:tc>
        <w:tc>
          <w:tcPr>
            <w:tcW w:w="537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739D84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</w:rPr>
              <w:t xml:space="preserve">40 </w:t>
            </w:r>
          </w:p>
        </w:tc>
      </w:tr>
      <w:tr w:rsidR="00033520" w:rsidRPr="00CB6F32" w14:paraId="33CDA566" w14:textId="77777777" w:rsidTr="00DB4AA6">
        <w:trPr>
          <w:trHeight w:val="397"/>
        </w:trPr>
        <w:tc>
          <w:tcPr>
            <w:tcW w:w="290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4720A4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5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CBBF73C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FATECs </w:t>
            </w:r>
          </w:p>
        </w:tc>
        <w:tc>
          <w:tcPr>
            <w:tcW w:w="537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208B9D3" w14:textId="77777777" w:rsidR="00033520" w:rsidRPr="00CB6F32" w:rsidRDefault="00033520" w:rsidP="00EB13D1">
            <w:pPr>
              <w:spacing w:before="120" w:after="120"/>
              <w:jc w:val="both"/>
            </w:pPr>
            <w:r w:rsidRPr="00CB6F32">
              <w:rPr>
                <w:rFonts w:ascii="Calibri" w:eastAsia="Calibri" w:hAnsi="Calibri" w:cs="Calibri"/>
                <w:color w:val="000000" w:themeColor="text1"/>
              </w:rPr>
              <w:t xml:space="preserve">40 </w:t>
            </w:r>
          </w:p>
        </w:tc>
      </w:tr>
      <w:tr w:rsidR="00033520" w:rsidRPr="00CB6F32" w14:paraId="0B64393E" w14:textId="77777777" w:rsidTr="00DB4AA6">
        <w:trPr>
          <w:trHeight w:val="397"/>
        </w:trPr>
        <w:tc>
          <w:tcPr>
            <w:tcW w:w="4463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4F1A69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CB6F32">
              <w:rPr>
                <w:rFonts w:ascii="Calibri" w:eastAsia="Calibri" w:hAnsi="Calibri" w:cs="Calibri"/>
                <w:b/>
                <w:bCs/>
              </w:rPr>
              <w:t xml:space="preserve"> Total</w:t>
            </w:r>
          </w:p>
        </w:tc>
        <w:tc>
          <w:tcPr>
            <w:tcW w:w="537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B51E9D" w14:textId="77777777" w:rsidR="00033520" w:rsidRPr="00CB6F32" w:rsidRDefault="00033520" w:rsidP="00EB13D1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 w:rsidRPr="00CB6F32">
              <w:rPr>
                <w:rFonts w:ascii="Calibri" w:eastAsia="Calibri" w:hAnsi="Calibri" w:cs="Calibri"/>
                <w:b/>
                <w:bCs/>
              </w:rPr>
              <w:t>100</w:t>
            </w:r>
          </w:p>
        </w:tc>
      </w:tr>
    </w:tbl>
    <w:p w14:paraId="1EF4A896" w14:textId="77777777" w:rsidR="00033520" w:rsidRDefault="00033520" w:rsidP="00033520">
      <w:pPr>
        <w:spacing w:before="120" w:after="120"/>
        <w:jc w:val="both"/>
        <w:rPr>
          <w:b/>
          <w:bCs/>
        </w:rPr>
      </w:pPr>
    </w:p>
    <w:p w14:paraId="1632E719" w14:textId="501D0755" w:rsidR="00001508" w:rsidRDefault="00001508" w:rsidP="00001508">
      <w:pPr>
        <w:spacing w:before="120" w:after="120"/>
        <w:jc w:val="both"/>
        <w:rPr>
          <w:b/>
          <w:bCs/>
        </w:rPr>
      </w:pPr>
      <w:r>
        <w:rPr>
          <w:b/>
          <w:bCs/>
        </w:rPr>
        <w:t>4</w:t>
      </w:r>
      <w:r w:rsidRPr="00A95852">
        <w:rPr>
          <w:b/>
          <w:bCs/>
        </w:rPr>
        <w:t xml:space="preserve"> - </w:t>
      </w:r>
      <w:r>
        <w:rPr>
          <w:b/>
          <w:bCs/>
        </w:rPr>
        <w:t xml:space="preserve"> ANÁLISE DOS RESULTADOS E PROPOSIÇÕES GERAIS</w:t>
      </w:r>
    </w:p>
    <w:p w14:paraId="04AF1D14" w14:textId="555B3E7C" w:rsidR="00310A32" w:rsidRDefault="00B905F0" w:rsidP="00001508">
      <w:pPr>
        <w:spacing w:before="120" w:after="120"/>
        <w:jc w:val="both"/>
      </w:pPr>
      <w:r>
        <w:tab/>
        <w:t xml:space="preserve">A partir </w:t>
      </w:r>
      <w:r w:rsidR="000864C6">
        <w:t xml:space="preserve">da apuração dos resultados da BR 2021, a comissão responsável </w:t>
      </w:r>
      <w:r w:rsidR="0021786A">
        <w:t xml:space="preserve">pela elaboração das propostas anuais de bonificação, reuniu-se várias </w:t>
      </w:r>
      <w:r w:rsidR="00AA4C8C">
        <w:t xml:space="preserve">vezes com o objetivo de </w:t>
      </w:r>
      <w:r w:rsidR="00081ABF">
        <w:t xml:space="preserve">analisar </w:t>
      </w:r>
      <w:r w:rsidR="00C22719">
        <w:t xml:space="preserve">os índices </w:t>
      </w:r>
      <w:r w:rsidR="00667FBB">
        <w:t xml:space="preserve">alcançados </w:t>
      </w:r>
      <w:r w:rsidR="00081ABF">
        <w:t>e propor</w:t>
      </w:r>
      <w:r w:rsidR="00667FBB">
        <w:t xml:space="preserve"> melhorias para proposta da BR 2022, </w:t>
      </w:r>
      <w:r w:rsidR="00995E6E">
        <w:t>haja visto que os efeitos da pandemia</w:t>
      </w:r>
      <w:r w:rsidR="00AF4889">
        <w:t>, infelizmente ainda impactam em nossas Unidades de Ensino.</w:t>
      </w:r>
      <w:r w:rsidR="000B21AB">
        <w:t xml:space="preserve"> </w:t>
      </w:r>
      <w:r w:rsidR="00F37134">
        <w:t xml:space="preserve"> As melhorias sugeridas </w:t>
      </w:r>
      <w:r w:rsidR="008F5C00">
        <w:t>dizem respeito à valorização dos esforços dos servidore</w:t>
      </w:r>
      <w:r w:rsidR="00CA15CD">
        <w:t xml:space="preserve">s e docentes em </w:t>
      </w:r>
      <w:r w:rsidR="008450EC">
        <w:t>manter</w:t>
      </w:r>
      <w:r w:rsidR="00CE4051">
        <w:t xml:space="preserve"> </w:t>
      </w:r>
      <w:r w:rsidR="004173A8">
        <w:t xml:space="preserve">a instituição como </w:t>
      </w:r>
      <w:r w:rsidR="00F765B2">
        <w:t>referencial de ensino profissional de qualidade</w:t>
      </w:r>
      <w:r w:rsidR="004173A8">
        <w:t>.</w:t>
      </w:r>
    </w:p>
    <w:p w14:paraId="07B33AF0" w14:textId="3D3320FE" w:rsidR="00033520" w:rsidRPr="00381991" w:rsidRDefault="00547D65" w:rsidP="00B96F49">
      <w:pPr>
        <w:spacing w:before="120" w:after="120"/>
        <w:jc w:val="both"/>
        <w:rPr>
          <w:rFonts w:cstheme="minorHAnsi"/>
          <w:b/>
        </w:rPr>
      </w:pPr>
      <w:r>
        <w:tab/>
        <w:t xml:space="preserve">O </w:t>
      </w:r>
      <w:r w:rsidR="005C17D6">
        <w:t xml:space="preserve">principal </w:t>
      </w:r>
      <w:r>
        <w:t xml:space="preserve">foco das melhorias </w:t>
      </w:r>
      <w:r w:rsidR="000A02D3">
        <w:t xml:space="preserve">propostas </w:t>
      </w:r>
      <w:r>
        <w:t xml:space="preserve">foi </w:t>
      </w:r>
      <w:r w:rsidR="00A411A5">
        <w:t>readequação dos cálculos</w:t>
      </w:r>
      <w:r w:rsidR="000A02D3">
        <w:t xml:space="preserve">, permitindo que </w:t>
      </w:r>
      <w:r w:rsidR="0080140A">
        <w:t>principalmente que as Unidades de Ensino com melhor desempenho</w:t>
      </w:r>
      <w:r w:rsidR="0099301A">
        <w:t xml:space="preserve"> sejam contempladas com pontuação positiva mesmo que tenham quedas</w:t>
      </w:r>
      <w:r w:rsidR="005C17D6">
        <w:t xml:space="preserve"> em seus índices.</w:t>
      </w:r>
      <w:r w:rsidR="00072F9E">
        <w:t xml:space="preserve"> Logo que possível, em tempo oportuno e deforma transparente, a proposta </w:t>
      </w:r>
      <w:r w:rsidR="00314B6C">
        <w:t xml:space="preserve">da BR 2022 será divulgada </w:t>
      </w:r>
      <w:r w:rsidR="00EF0FA0">
        <w:t>à</w:t>
      </w:r>
      <w:r w:rsidR="00314B6C">
        <w:t xml:space="preserve"> todos os envolvidos responsáveis neste processo</w:t>
      </w:r>
      <w:r w:rsidR="00752360">
        <w:t xml:space="preserve"> de metas e resultados.</w:t>
      </w:r>
    </w:p>
    <w:sectPr w:rsidR="00033520" w:rsidRPr="00381991" w:rsidSect="006F6DF2">
      <w:headerReference w:type="default" r:id="rId8"/>
      <w:footerReference w:type="default" r:id="rId9"/>
      <w:pgSz w:w="11906" w:h="16838"/>
      <w:pgMar w:top="1985" w:right="991" w:bottom="993" w:left="993" w:header="142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B65F" w14:textId="77777777" w:rsidR="00F61834" w:rsidRDefault="00F61834">
      <w:pPr>
        <w:spacing w:after="0" w:line="240" w:lineRule="auto"/>
      </w:pPr>
      <w:r>
        <w:separator/>
      </w:r>
    </w:p>
  </w:endnote>
  <w:endnote w:type="continuationSeparator" w:id="0">
    <w:p w14:paraId="41409C83" w14:textId="77777777" w:rsidR="00F61834" w:rsidRDefault="00F61834">
      <w:pPr>
        <w:spacing w:after="0" w:line="240" w:lineRule="auto"/>
      </w:pPr>
      <w:r>
        <w:continuationSeparator/>
      </w:r>
    </w:p>
  </w:endnote>
  <w:endnote w:type="continuationNotice" w:id="1">
    <w:p w14:paraId="19606C2A" w14:textId="77777777" w:rsidR="00F61834" w:rsidRDefault="00F61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218713"/>
      <w:docPartObj>
        <w:docPartGallery w:val="Page Numbers (Bottom of Page)"/>
        <w:docPartUnique/>
      </w:docPartObj>
    </w:sdtPr>
    <w:sdtEndPr/>
    <w:sdtContent>
      <w:p w14:paraId="06993C29" w14:textId="77777777" w:rsidR="00C71F42" w:rsidRDefault="00C71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5B5FB" w14:textId="77777777" w:rsidR="00AD6A01" w:rsidRDefault="00AD6A01" w:rsidP="00AD6A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1906" w14:textId="77777777" w:rsidR="00F61834" w:rsidRDefault="00F61834">
      <w:pPr>
        <w:spacing w:after="0" w:line="240" w:lineRule="auto"/>
      </w:pPr>
      <w:r>
        <w:separator/>
      </w:r>
    </w:p>
  </w:footnote>
  <w:footnote w:type="continuationSeparator" w:id="0">
    <w:p w14:paraId="0C9885B0" w14:textId="77777777" w:rsidR="00F61834" w:rsidRDefault="00F61834">
      <w:pPr>
        <w:spacing w:after="0" w:line="240" w:lineRule="auto"/>
      </w:pPr>
      <w:r>
        <w:continuationSeparator/>
      </w:r>
    </w:p>
  </w:footnote>
  <w:footnote w:type="continuationNotice" w:id="1">
    <w:p w14:paraId="001A50C7" w14:textId="77777777" w:rsidR="00F61834" w:rsidRDefault="00F61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3100" w14:textId="77777777" w:rsidR="00B560AB" w:rsidRPr="00B560AB" w:rsidRDefault="000056EE" w:rsidP="0086477C">
    <w:pPr>
      <w:pStyle w:val="Cabealho"/>
      <w:tabs>
        <w:tab w:val="clear" w:pos="4252"/>
        <w:tab w:val="clear" w:pos="8504"/>
      </w:tabs>
      <w:jc w:val="center"/>
      <w:rPr>
        <w:rFonts w:cstheme="minorHAnsi"/>
      </w:rPr>
    </w:pPr>
    <w:r>
      <w:rPr>
        <w:rFonts w:cs="Arial"/>
        <w:b/>
        <w:noProof/>
        <w:spacing w:val="-2"/>
      </w:rPr>
      <w:drawing>
        <wp:inline distT="0" distB="0" distL="0" distR="0" wp14:anchorId="722E491A" wp14:editId="74B76CF8">
          <wp:extent cx="2924175" cy="94297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PS_Logo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223" cy="95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477C">
      <w:rPr>
        <w:rFonts w:cstheme="minorHAnsi"/>
      </w:rPr>
      <w:t>_____________</w:t>
    </w:r>
    <w:r w:rsidR="00B560AB" w:rsidRPr="00B560AB">
      <w:rPr>
        <w:rFonts w:cstheme="minorHAnsi"/>
      </w:rPr>
      <w:t>_____________________________________________________________________________</w:t>
    </w:r>
  </w:p>
  <w:p w14:paraId="376F7FCD" w14:textId="77777777" w:rsidR="0086477C" w:rsidRPr="0086477C" w:rsidRDefault="00B560AB" w:rsidP="0086477C">
    <w:pPr>
      <w:tabs>
        <w:tab w:val="left" w:pos="3540"/>
      </w:tabs>
      <w:spacing w:after="0" w:line="240" w:lineRule="auto"/>
      <w:jc w:val="center"/>
      <w:rPr>
        <w:rFonts w:cstheme="minorHAnsi"/>
        <w:b/>
        <w:color w:val="880E1B"/>
        <w:sz w:val="20"/>
        <w:szCs w:val="20"/>
      </w:rPr>
    </w:pPr>
    <w:r w:rsidRPr="0086477C">
      <w:rPr>
        <w:rFonts w:cstheme="minorHAnsi"/>
        <w:b/>
        <w:color w:val="880E1B"/>
        <w:sz w:val="20"/>
        <w:szCs w:val="20"/>
      </w:rPr>
      <w:t>Administração Central</w:t>
    </w:r>
  </w:p>
  <w:p w14:paraId="4B86BB28" w14:textId="77777777" w:rsidR="0086477C" w:rsidRPr="0086477C" w:rsidRDefault="0086477C" w:rsidP="0086477C">
    <w:pPr>
      <w:tabs>
        <w:tab w:val="left" w:pos="3540"/>
      </w:tabs>
      <w:spacing w:after="0" w:line="240" w:lineRule="auto"/>
      <w:jc w:val="center"/>
      <w:rPr>
        <w:rFonts w:cstheme="minorHAnsi"/>
        <w:b/>
        <w:sz w:val="18"/>
        <w:szCs w:val="18"/>
      </w:rPr>
    </w:pPr>
    <w:r w:rsidRPr="0086477C">
      <w:rPr>
        <w:rFonts w:cstheme="minorHAnsi"/>
        <w:b/>
        <w:sz w:val="18"/>
        <w:szCs w:val="18"/>
      </w:rPr>
      <w:t>Área de Avaliação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B79"/>
    <w:multiLevelType w:val="hybridMultilevel"/>
    <w:tmpl w:val="FB988B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E1D"/>
    <w:multiLevelType w:val="hybridMultilevel"/>
    <w:tmpl w:val="8678378C"/>
    <w:lvl w:ilvl="0" w:tplc="0416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7EA4DEC"/>
    <w:multiLevelType w:val="hybridMultilevel"/>
    <w:tmpl w:val="EC926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0B9"/>
    <w:multiLevelType w:val="hybridMultilevel"/>
    <w:tmpl w:val="03F2BB8E"/>
    <w:lvl w:ilvl="0" w:tplc="EBF24A7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9E40A8"/>
    <w:multiLevelType w:val="hybridMultilevel"/>
    <w:tmpl w:val="51EC31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46CEE"/>
    <w:multiLevelType w:val="hybridMultilevel"/>
    <w:tmpl w:val="C7349228"/>
    <w:lvl w:ilvl="0" w:tplc="BD308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E17E2B"/>
    <w:multiLevelType w:val="hybridMultilevel"/>
    <w:tmpl w:val="2334CD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61485"/>
    <w:multiLevelType w:val="hybridMultilevel"/>
    <w:tmpl w:val="D2405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1F6F"/>
    <w:multiLevelType w:val="hybridMultilevel"/>
    <w:tmpl w:val="8F9CCA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FF4F19"/>
    <w:multiLevelType w:val="hybridMultilevel"/>
    <w:tmpl w:val="8A963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F48AA"/>
    <w:multiLevelType w:val="multilevel"/>
    <w:tmpl w:val="B8D2EE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6F608F"/>
    <w:multiLevelType w:val="hybridMultilevel"/>
    <w:tmpl w:val="2910A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1D3A"/>
    <w:multiLevelType w:val="hybridMultilevel"/>
    <w:tmpl w:val="05C6FAD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D48EE"/>
    <w:multiLevelType w:val="hybridMultilevel"/>
    <w:tmpl w:val="797E4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C5513"/>
    <w:multiLevelType w:val="hybridMultilevel"/>
    <w:tmpl w:val="FD729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3C86"/>
    <w:multiLevelType w:val="hybridMultilevel"/>
    <w:tmpl w:val="A68CF24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D1335"/>
    <w:multiLevelType w:val="hybridMultilevel"/>
    <w:tmpl w:val="37309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02EF"/>
    <w:multiLevelType w:val="hybridMultilevel"/>
    <w:tmpl w:val="B91289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0308C"/>
    <w:multiLevelType w:val="hybridMultilevel"/>
    <w:tmpl w:val="4B1E43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A6C85"/>
    <w:multiLevelType w:val="hybridMultilevel"/>
    <w:tmpl w:val="A79ED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4F81"/>
    <w:multiLevelType w:val="hybridMultilevel"/>
    <w:tmpl w:val="A30A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27448"/>
    <w:multiLevelType w:val="hybridMultilevel"/>
    <w:tmpl w:val="5DD8BE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107FD"/>
    <w:multiLevelType w:val="hybridMultilevel"/>
    <w:tmpl w:val="52AC186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6F4804"/>
    <w:multiLevelType w:val="hybridMultilevel"/>
    <w:tmpl w:val="2CF409E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EA4A07"/>
    <w:multiLevelType w:val="hybridMultilevel"/>
    <w:tmpl w:val="7E98F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371C0"/>
    <w:multiLevelType w:val="hybridMultilevel"/>
    <w:tmpl w:val="6F3E28BC"/>
    <w:lvl w:ilvl="0" w:tplc="F394060C">
      <w:start w:val="1"/>
      <w:numFmt w:val="lowerLetter"/>
      <w:lvlText w:val="%1)"/>
      <w:lvlJc w:val="left"/>
      <w:pPr>
        <w:ind w:left="510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32191"/>
    <w:multiLevelType w:val="multilevel"/>
    <w:tmpl w:val="DC66E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216960"/>
    <w:multiLevelType w:val="hybridMultilevel"/>
    <w:tmpl w:val="554480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431735">
    <w:abstractNumId w:val="23"/>
  </w:num>
  <w:num w:numId="2" w16cid:durableId="1508784787">
    <w:abstractNumId w:val="12"/>
  </w:num>
  <w:num w:numId="3" w16cid:durableId="1294141399">
    <w:abstractNumId w:val="15"/>
  </w:num>
  <w:num w:numId="4" w16cid:durableId="1018704499">
    <w:abstractNumId w:val="18"/>
  </w:num>
  <w:num w:numId="5" w16cid:durableId="2133818244">
    <w:abstractNumId w:val="21"/>
  </w:num>
  <w:num w:numId="6" w16cid:durableId="1187674328">
    <w:abstractNumId w:val="1"/>
  </w:num>
  <w:num w:numId="7" w16cid:durableId="1512530583">
    <w:abstractNumId w:val="8"/>
  </w:num>
  <w:num w:numId="8" w16cid:durableId="434403198">
    <w:abstractNumId w:val="24"/>
  </w:num>
  <w:num w:numId="9" w16cid:durableId="1647129733">
    <w:abstractNumId w:val="20"/>
  </w:num>
  <w:num w:numId="10" w16cid:durableId="774982496">
    <w:abstractNumId w:val="0"/>
  </w:num>
  <w:num w:numId="11" w16cid:durableId="1763794029">
    <w:abstractNumId w:val="27"/>
  </w:num>
  <w:num w:numId="12" w16cid:durableId="1917201431">
    <w:abstractNumId w:val="19"/>
  </w:num>
  <w:num w:numId="13" w16cid:durableId="1250701084">
    <w:abstractNumId w:val="10"/>
  </w:num>
  <w:num w:numId="14" w16cid:durableId="461120265">
    <w:abstractNumId w:val="26"/>
  </w:num>
  <w:num w:numId="15" w16cid:durableId="1325204582">
    <w:abstractNumId w:val="2"/>
  </w:num>
  <w:num w:numId="16" w16cid:durableId="1299533550">
    <w:abstractNumId w:val="5"/>
  </w:num>
  <w:num w:numId="17" w16cid:durableId="649670269">
    <w:abstractNumId w:val="11"/>
  </w:num>
  <w:num w:numId="18" w16cid:durableId="707948704">
    <w:abstractNumId w:val="22"/>
  </w:num>
  <w:num w:numId="19" w16cid:durableId="391585449">
    <w:abstractNumId w:val="25"/>
  </w:num>
  <w:num w:numId="20" w16cid:durableId="623461089">
    <w:abstractNumId w:val="4"/>
  </w:num>
  <w:num w:numId="21" w16cid:durableId="2140761938">
    <w:abstractNumId w:val="9"/>
  </w:num>
  <w:num w:numId="22" w16cid:durableId="189417477">
    <w:abstractNumId w:val="6"/>
  </w:num>
  <w:num w:numId="23" w16cid:durableId="923877139">
    <w:abstractNumId w:val="17"/>
  </w:num>
  <w:num w:numId="24" w16cid:durableId="803503504">
    <w:abstractNumId w:val="3"/>
  </w:num>
  <w:num w:numId="25" w16cid:durableId="404255604">
    <w:abstractNumId w:val="7"/>
  </w:num>
  <w:num w:numId="26" w16cid:durableId="1584947711">
    <w:abstractNumId w:val="13"/>
  </w:num>
  <w:num w:numId="27" w16cid:durableId="546339340">
    <w:abstractNumId w:val="14"/>
  </w:num>
  <w:num w:numId="28" w16cid:durableId="14621897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01"/>
    <w:rsid w:val="00001508"/>
    <w:rsid w:val="000018F4"/>
    <w:rsid w:val="000056EE"/>
    <w:rsid w:val="00011327"/>
    <w:rsid w:val="000139E1"/>
    <w:rsid w:val="000207A5"/>
    <w:rsid w:val="00021AF0"/>
    <w:rsid w:val="00032CC7"/>
    <w:rsid w:val="00033520"/>
    <w:rsid w:val="00041A0F"/>
    <w:rsid w:val="00051DB0"/>
    <w:rsid w:val="00062F66"/>
    <w:rsid w:val="000673B0"/>
    <w:rsid w:val="00072F9E"/>
    <w:rsid w:val="00081ABF"/>
    <w:rsid w:val="00083A44"/>
    <w:rsid w:val="000864C6"/>
    <w:rsid w:val="000912A2"/>
    <w:rsid w:val="000A02D3"/>
    <w:rsid w:val="000B21AB"/>
    <w:rsid w:val="000B3937"/>
    <w:rsid w:val="000C0E3C"/>
    <w:rsid w:val="000C188E"/>
    <w:rsid w:val="000C36D5"/>
    <w:rsid w:val="000C4025"/>
    <w:rsid w:val="000D021E"/>
    <w:rsid w:val="000D6C43"/>
    <w:rsid w:val="000E59C7"/>
    <w:rsid w:val="000F2402"/>
    <w:rsid w:val="00110EE4"/>
    <w:rsid w:val="00124F1F"/>
    <w:rsid w:val="00137172"/>
    <w:rsid w:val="00153351"/>
    <w:rsid w:val="00155B0F"/>
    <w:rsid w:val="00161718"/>
    <w:rsid w:val="00162051"/>
    <w:rsid w:val="00171193"/>
    <w:rsid w:val="00172A83"/>
    <w:rsid w:val="00173A44"/>
    <w:rsid w:val="00181BAE"/>
    <w:rsid w:val="00185813"/>
    <w:rsid w:val="001B1425"/>
    <w:rsid w:val="001B7CF0"/>
    <w:rsid w:val="001C4CE7"/>
    <w:rsid w:val="001D50ED"/>
    <w:rsid w:val="001D55B5"/>
    <w:rsid w:val="001D5B96"/>
    <w:rsid w:val="001E1CE2"/>
    <w:rsid w:val="001F7772"/>
    <w:rsid w:val="0021786A"/>
    <w:rsid w:val="00220152"/>
    <w:rsid w:val="002243AB"/>
    <w:rsid w:val="0025697A"/>
    <w:rsid w:val="002633FA"/>
    <w:rsid w:val="002771BD"/>
    <w:rsid w:val="00285B3A"/>
    <w:rsid w:val="00287040"/>
    <w:rsid w:val="0029569F"/>
    <w:rsid w:val="002A1631"/>
    <w:rsid w:val="002B1297"/>
    <w:rsid w:val="002E16CD"/>
    <w:rsid w:val="002E2ABD"/>
    <w:rsid w:val="002F2A34"/>
    <w:rsid w:val="002F336E"/>
    <w:rsid w:val="002F6586"/>
    <w:rsid w:val="0030453B"/>
    <w:rsid w:val="00307B3C"/>
    <w:rsid w:val="00310A32"/>
    <w:rsid w:val="00314B6C"/>
    <w:rsid w:val="00322A0E"/>
    <w:rsid w:val="003249C5"/>
    <w:rsid w:val="00324C0F"/>
    <w:rsid w:val="0033327B"/>
    <w:rsid w:val="0035009C"/>
    <w:rsid w:val="00353D5F"/>
    <w:rsid w:val="0036396A"/>
    <w:rsid w:val="00367FD6"/>
    <w:rsid w:val="003721D1"/>
    <w:rsid w:val="00373B78"/>
    <w:rsid w:val="003764E6"/>
    <w:rsid w:val="00381221"/>
    <w:rsid w:val="00381991"/>
    <w:rsid w:val="00384A5F"/>
    <w:rsid w:val="0039780B"/>
    <w:rsid w:val="003A51F9"/>
    <w:rsid w:val="003C1B66"/>
    <w:rsid w:val="003D35D2"/>
    <w:rsid w:val="003E5173"/>
    <w:rsid w:val="0041266D"/>
    <w:rsid w:val="004173A8"/>
    <w:rsid w:val="00425CC3"/>
    <w:rsid w:val="00441FAA"/>
    <w:rsid w:val="0045060C"/>
    <w:rsid w:val="00454D67"/>
    <w:rsid w:val="00486F1F"/>
    <w:rsid w:val="00487387"/>
    <w:rsid w:val="00487F68"/>
    <w:rsid w:val="00494282"/>
    <w:rsid w:val="004A072B"/>
    <w:rsid w:val="004B50DE"/>
    <w:rsid w:val="004C6AAE"/>
    <w:rsid w:val="004E2BBB"/>
    <w:rsid w:val="004E33E5"/>
    <w:rsid w:val="004F156A"/>
    <w:rsid w:val="004F6F40"/>
    <w:rsid w:val="004F77D6"/>
    <w:rsid w:val="0051174F"/>
    <w:rsid w:val="005156FD"/>
    <w:rsid w:val="00521A13"/>
    <w:rsid w:val="005230E8"/>
    <w:rsid w:val="005245B9"/>
    <w:rsid w:val="005279D8"/>
    <w:rsid w:val="005300E1"/>
    <w:rsid w:val="00541CE5"/>
    <w:rsid w:val="00547D65"/>
    <w:rsid w:val="0055020B"/>
    <w:rsid w:val="00555E92"/>
    <w:rsid w:val="0057648B"/>
    <w:rsid w:val="00587176"/>
    <w:rsid w:val="00591B5E"/>
    <w:rsid w:val="00593ACE"/>
    <w:rsid w:val="005955F1"/>
    <w:rsid w:val="005978AA"/>
    <w:rsid w:val="005A4834"/>
    <w:rsid w:val="005A6904"/>
    <w:rsid w:val="005B6DD5"/>
    <w:rsid w:val="005C17D6"/>
    <w:rsid w:val="005C1A4A"/>
    <w:rsid w:val="005C4297"/>
    <w:rsid w:val="005D388E"/>
    <w:rsid w:val="005E7C1C"/>
    <w:rsid w:val="005F34EC"/>
    <w:rsid w:val="005F465F"/>
    <w:rsid w:val="005F7AA3"/>
    <w:rsid w:val="00602CDA"/>
    <w:rsid w:val="006074D0"/>
    <w:rsid w:val="00610949"/>
    <w:rsid w:val="0062072A"/>
    <w:rsid w:val="00622C58"/>
    <w:rsid w:val="006242FE"/>
    <w:rsid w:val="0064223E"/>
    <w:rsid w:val="00642626"/>
    <w:rsid w:val="00647620"/>
    <w:rsid w:val="00655093"/>
    <w:rsid w:val="00656037"/>
    <w:rsid w:val="00660B01"/>
    <w:rsid w:val="00667FBB"/>
    <w:rsid w:val="0067562A"/>
    <w:rsid w:val="0067698A"/>
    <w:rsid w:val="00696A54"/>
    <w:rsid w:val="006B7CD7"/>
    <w:rsid w:val="006C05B5"/>
    <w:rsid w:val="006C34C1"/>
    <w:rsid w:val="006C5FBC"/>
    <w:rsid w:val="006D0A41"/>
    <w:rsid w:val="006F2463"/>
    <w:rsid w:val="006F6DF2"/>
    <w:rsid w:val="00700423"/>
    <w:rsid w:val="00713BDC"/>
    <w:rsid w:val="00714A67"/>
    <w:rsid w:val="00717BA0"/>
    <w:rsid w:val="007210A3"/>
    <w:rsid w:val="007275E4"/>
    <w:rsid w:val="00736E17"/>
    <w:rsid w:val="0074149A"/>
    <w:rsid w:val="00750FDA"/>
    <w:rsid w:val="00751557"/>
    <w:rsid w:val="00752360"/>
    <w:rsid w:val="00755AB2"/>
    <w:rsid w:val="007573CB"/>
    <w:rsid w:val="00765414"/>
    <w:rsid w:val="007C4F4F"/>
    <w:rsid w:val="007E5511"/>
    <w:rsid w:val="0080140A"/>
    <w:rsid w:val="00803881"/>
    <w:rsid w:val="00803C40"/>
    <w:rsid w:val="008074EA"/>
    <w:rsid w:val="00807F3D"/>
    <w:rsid w:val="00810F6D"/>
    <w:rsid w:val="008238C0"/>
    <w:rsid w:val="00825521"/>
    <w:rsid w:val="00830F06"/>
    <w:rsid w:val="00835C28"/>
    <w:rsid w:val="00844704"/>
    <w:rsid w:val="008450EC"/>
    <w:rsid w:val="0086477C"/>
    <w:rsid w:val="00867282"/>
    <w:rsid w:val="0087158C"/>
    <w:rsid w:val="0088729F"/>
    <w:rsid w:val="008877C2"/>
    <w:rsid w:val="00892124"/>
    <w:rsid w:val="0089349D"/>
    <w:rsid w:val="008A137A"/>
    <w:rsid w:val="008B23C5"/>
    <w:rsid w:val="008B5EC3"/>
    <w:rsid w:val="008C341C"/>
    <w:rsid w:val="008C47F4"/>
    <w:rsid w:val="008D4C75"/>
    <w:rsid w:val="008E10E3"/>
    <w:rsid w:val="008E6B8A"/>
    <w:rsid w:val="008F5118"/>
    <w:rsid w:val="008F5C00"/>
    <w:rsid w:val="008F6816"/>
    <w:rsid w:val="0090322B"/>
    <w:rsid w:val="00903B2D"/>
    <w:rsid w:val="00904CF4"/>
    <w:rsid w:val="00905ECE"/>
    <w:rsid w:val="00907052"/>
    <w:rsid w:val="00911F28"/>
    <w:rsid w:val="0091242C"/>
    <w:rsid w:val="0091299C"/>
    <w:rsid w:val="00912A21"/>
    <w:rsid w:val="00921BC2"/>
    <w:rsid w:val="0092580B"/>
    <w:rsid w:val="00926573"/>
    <w:rsid w:val="00934046"/>
    <w:rsid w:val="00937C97"/>
    <w:rsid w:val="00944592"/>
    <w:rsid w:val="00962C60"/>
    <w:rsid w:val="00963096"/>
    <w:rsid w:val="00980E5A"/>
    <w:rsid w:val="009829BE"/>
    <w:rsid w:val="009850C5"/>
    <w:rsid w:val="0099301A"/>
    <w:rsid w:val="00995E6E"/>
    <w:rsid w:val="009A73E8"/>
    <w:rsid w:val="009B2331"/>
    <w:rsid w:val="009C63F8"/>
    <w:rsid w:val="009C7804"/>
    <w:rsid w:val="009D0906"/>
    <w:rsid w:val="009E0CE0"/>
    <w:rsid w:val="009E20DE"/>
    <w:rsid w:val="009F50D5"/>
    <w:rsid w:val="009F6989"/>
    <w:rsid w:val="00A17609"/>
    <w:rsid w:val="00A30CD1"/>
    <w:rsid w:val="00A30F62"/>
    <w:rsid w:val="00A37E36"/>
    <w:rsid w:val="00A411A5"/>
    <w:rsid w:val="00A5742A"/>
    <w:rsid w:val="00A64225"/>
    <w:rsid w:val="00A733AE"/>
    <w:rsid w:val="00A733F6"/>
    <w:rsid w:val="00A90DE8"/>
    <w:rsid w:val="00A9473F"/>
    <w:rsid w:val="00A95852"/>
    <w:rsid w:val="00AA4C8C"/>
    <w:rsid w:val="00AB2339"/>
    <w:rsid w:val="00AD43BC"/>
    <w:rsid w:val="00AD6A01"/>
    <w:rsid w:val="00AE382E"/>
    <w:rsid w:val="00AF1AD9"/>
    <w:rsid w:val="00AF4889"/>
    <w:rsid w:val="00AF7E89"/>
    <w:rsid w:val="00B06AE4"/>
    <w:rsid w:val="00B06CD7"/>
    <w:rsid w:val="00B07689"/>
    <w:rsid w:val="00B077C8"/>
    <w:rsid w:val="00B13E5F"/>
    <w:rsid w:val="00B27010"/>
    <w:rsid w:val="00B30C1B"/>
    <w:rsid w:val="00B3771E"/>
    <w:rsid w:val="00B420E9"/>
    <w:rsid w:val="00B433CC"/>
    <w:rsid w:val="00B560AB"/>
    <w:rsid w:val="00B623D1"/>
    <w:rsid w:val="00B62921"/>
    <w:rsid w:val="00B74288"/>
    <w:rsid w:val="00B84C3A"/>
    <w:rsid w:val="00B857F9"/>
    <w:rsid w:val="00B905F0"/>
    <w:rsid w:val="00B94142"/>
    <w:rsid w:val="00B96F49"/>
    <w:rsid w:val="00BB44E8"/>
    <w:rsid w:val="00BC5F7D"/>
    <w:rsid w:val="00BD7DFE"/>
    <w:rsid w:val="00BE25D8"/>
    <w:rsid w:val="00BF0B59"/>
    <w:rsid w:val="00C033EC"/>
    <w:rsid w:val="00C12FED"/>
    <w:rsid w:val="00C22719"/>
    <w:rsid w:val="00C561B9"/>
    <w:rsid w:val="00C71F42"/>
    <w:rsid w:val="00C72F93"/>
    <w:rsid w:val="00C76D3E"/>
    <w:rsid w:val="00C81A72"/>
    <w:rsid w:val="00C82291"/>
    <w:rsid w:val="00C86BD6"/>
    <w:rsid w:val="00C86F22"/>
    <w:rsid w:val="00C926E3"/>
    <w:rsid w:val="00C96611"/>
    <w:rsid w:val="00CA15CD"/>
    <w:rsid w:val="00CA46C9"/>
    <w:rsid w:val="00CB5AB5"/>
    <w:rsid w:val="00CC22B2"/>
    <w:rsid w:val="00CE015E"/>
    <w:rsid w:val="00CE4051"/>
    <w:rsid w:val="00CE4F2B"/>
    <w:rsid w:val="00CF5A1B"/>
    <w:rsid w:val="00D05C34"/>
    <w:rsid w:val="00D07C09"/>
    <w:rsid w:val="00D16A50"/>
    <w:rsid w:val="00D16E31"/>
    <w:rsid w:val="00D2679D"/>
    <w:rsid w:val="00D33256"/>
    <w:rsid w:val="00D46806"/>
    <w:rsid w:val="00D71576"/>
    <w:rsid w:val="00DA1175"/>
    <w:rsid w:val="00DB2106"/>
    <w:rsid w:val="00DB4AA6"/>
    <w:rsid w:val="00DB57F1"/>
    <w:rsid w:val="00DC3A45"/>
    <w:rsid w:val="00DD0F52"/>
    <w:rsid w:val="00DD469E"/>
    <w:rsid w:val="00DD504E"/>
    <w:rsid w:val="00E04477"/>
    <w:rsid w:val="00E30575"/>
    <w:rsid w:val="00E321EE"/>
    <w:rsid w:val="00E5091B"/>
    <w:rsid w:val="00E5147E"/>
    <w:rsid w:val="00E529E4"/>
    <w:rsid w:val="00E603F1"/>
    <w:rsid w:val="00E757DB"/>
    <w:rsid w:val="00E7706D"/>
    <w:rsid w:val="00E828ED"/>
    <w:rsid w:val="00E8671D"/>
    <w:rsid w:val="00E900E2"/>
    <w:rsid w:val="00ED15A1"/>
    <w:rsid w:val="00ED49CF"/>
    <w:rsid w:val="00EE5C4E"/>
    <w:rsid w:val="00EF0FA0"/>
    <w:rsid w:val="00F129F3"/>
    <w:rsid w:val="00F203E7"/>
    <w:rsid w:val="00F2202C"/>
    <w:rsid w:val="00F2442E"/>
    <w:rsid w:val="00F37134"/>
    <w:rsid w:val="00F374C1"/>
    <w:rsid w:val="00F60A7F"/>
    <w:rsid w:val="00F61834"/>
    <w:rsid w:val="00F61EAB"/>
    <w:rsid w:val="00F64C9F"/>
    <w:rsid w:val="00F7163C"/>
    <w:rsid w:val="00F72908"/>
    <w:rsid w:val="00F765B2"/>
    <w:rsid w:val="00F8392C"/>
    <w:rsid w:val="00F83EDB"/>
    <w:rsid w:val="00FA3D87"/>
    <w:rsid w:val="00FB1A48"/>
    <w:rsid w:val="00FB7D2A"/>
    <w:rsid w:val="00FD0191"/>
    <w:rsid w:val="00FD75E6"/>
    <w:rsid w:val="00FE71BF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7165C"/>
  <w15:chartTrackingRefBased/>
  <w15:docId w15:val="{863EF876-040C-4793-92FF-A466C6B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A0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A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D6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A01"/>
  </w:style>
  <w:style w:type="paragraph" w:styleId="Rodap">
    <w:name w:val="footer"/>
    <w:basedOn w:val="Normal"/>
    <w:link w:val="RodapChar"/>
    <w:uiPriority w:val="99"/>
    <w:unhideWhenUsed/>
    <w:rsid w:val="00AD6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A01"/>
  </w:style>
  <w:style w:type="paragraph" w:styleId="PargrafodaLista">
    <w:name w:val="List Paragraph"/>
    <w:basedOn w:val="Normal"/>
    <w:link w:val="PargrafodaListaChar"/>
    <w:uiPriority w:val="34"/>
    <w:qFormat/>
    <w:rsid w:val="00AD6A01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AD6A01"/>
  </w:style>
  <w:style w:type="character" w:styleId="Forte">
    <w:name w:val="Strong"/>
    <w:basedOn w:val="Fontepargpadro"/>
    <w:uiPriority w:val="22"/>
    <w:qFormat/>
    <w:rsid w:val="00AD6A01"/>
    <w:rPr>
      <w:b/>
      <w:bCs/>
    </w:rPr>
  </w:style>
  <w:style w:type="character" w:customStyle="1" w:styleId="apple-converted-space">
    <w:name w:val="apple-converted-space"/>
    <w:basedOn w:val="Fontepargpadro"/>
    <w:rsid w:val="00AD6A01"/>
  </w:style>
  <w:style w:type="paragraph" w:styleId="NormalWeb">
    <w:name w:val="Normal (Web)"/>
    <w:basedOn w:val="Normal"/>
    <w:uiPriority w:val="99"/>
    <w:unhideWhenUsed/>
    <w:rsid w:val="00A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D6A01"/>
    <w:rPr>
      <w:color w:val="0000FF"/>
      <w:u w:val="single"/>
    </w:rPr>
  </w:style>
  <w:style w:type="paragraph" w:customStyle="1" w:styleId="Default">
    <w:name w:val="Default"/>
    <w:rsid w:val="00AD6A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A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A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3">
    <w:name w:val="xl73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5">
    <w:name w:val="xl75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0">
    <w:name w:val="xl80"/>
    <w:basedOn w:val="Normal"/>
    <w:rsid w:val="00AD6A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1">
    <w:name w:val="xl81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AD6A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AD6A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2">
    <w:name w:val="xl92"/>
    <w:basedOn w:val="Normal"/>
    <w:rsid w:val="00AD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5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8A4D-376C-46E3-8B1B-C17B83FE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Celso Prado Pozzobon</dc:creator>
  <cp:keywords/>
  <dc:description/>
  <cp:lastModifiedBy>Bahiji Haje</cp:lastModifiedBy>
  <cp:revision>2</cp:revision>
  <cp:lastPrinted>2018-03-02T15:26:00Z</cp:lastPrinted>
  <dcterms:created xsi:type="dcterms:W3CDTF">2022-07-07T13:12:00Z</dcterms:created>
  <dcterms:modified xsi:type="dcterms:W3CDTF">2022-07-07T13:12:00Z</dcterms:modified>
</cp:coreProperties>
</file>